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B6E2A" w14:textId="030A0C0E" w:rsidR="00507986" w:rsidRPr="00505A01" w:rsidRDefault="004B597D" w:rsidP="00672978">
      <w:pPr>
        <w:jc w:val="both"/>
        <w:rPr>
          <w:rStyle w:val="IntenseReference"/>
          <w:color w:val="9C1A2F"/>
          <w:sz w:val="22"/>
          <w:szCs w:val="22"/>
          <w:u w:val="single"/>
        </w:rPr>
      </w:pPr>
      <w:r w:rsidRPr="00505A01">
        <w:rPr>
          <w:rStyle w:val="IntenseReference"/>
          <w:color w:val="9C1A2F"/>
          <w:sz w:val="22"/>
          <w:szCs w:val="22"/>
          <w:u w:val="single"/>
        </w:rPr>
        <w:t>Program Summary</w:t>
      </w:r>
    </w:p>
    <w:p w14:paraId="64D09300" w14:textId="776A41F2" w:rsidR="00753D37" w:rsidRPr="00505A01" w:rsidRDefault="004B597D" w:rsidP="00672978">
      <w:pPr>
        <w:jc w:val="both"/>
        <w:rPr>
          <w:sz w:val="22"/>
          <w:szCs w:val="22"/>
        </w:rPr>
      </w:pPr>
      <w:r w:rsidRPr="004B597D">
        <w:rPr>
          <w:sz w:val="22"/>
          <w:szCs w:val="22"/>
        </w:rPr>
        <w:t xml:space="preserve">In partnership with the City of Jacksonville, </w:t>
      </w:r>
      <w:proofErr w:type="spellStart"/>
      <w:r w:rsidRPr="004B597D">
        <w:rPr>
          <w:sz w:val="22"/>
          <w:szCs w:val="22"/>
        </w:rPr>
        <w:t>VyStar</w:t>
      </w:r>
      <w:proofErr w:type="spellEnd"/>
      <w:r w:rsidRPr="004B597D">
        <w:rPr>
          <w:sz w:val="22"/>
          <w:szCs w:val="22"/>
        </w:rPr>
        <w:t xml:space="preserve"> Credit Union </w:t>
      </w:r>
      <w:r w:rsidRPr="00505A01">
        <w:rPr>
          <w:sz w:val="22"/>
          <w:szCs w:val="22"/>
        </w:rPr>
        <w:t>is creating</w:t>
      </w:r>
      <w:r w:rsidRPr="004B597D">
        <w:rPr>
          <w:sz w:val="22"/>
          <w:szCs w:val="22"/>
        </w:rPr>
        <w:t xml:space="preserve"> </w:t>
      </w:r>
      <w:r w:rsidRPr="00505A01">
        <w:rPr>
          <w:sz w:val="22"/>
          <w:szCs w:val="22"/>
        </w:rPr>
        <w:t xml:space="preserve">a </w:t>
      </w:r>
      <w:r w:rsidR="00D22B36" w:rsidRPr="00505A01">
        <w:rPr>
          <w:sz w:val="22"/>
          <w:szCs w:val="22"/>
        </w:rPr>
        <w:t>COVID-19 RESPONSE Business Community Relief Loan</w:t>
      </w:r>
      <w:r w:rsidRPr="004B597D">
        <w:rPr>
          <w:sz w:val="22"/>
          <w:szCs w:val="22"/>
        </w:rPr>
        <w:t xml:space="preserve"> program to provide critical aid</w:t>
      </w:r>
      <w:r w:rsidRPr="00505A01">
        <w:rPr>
          <w:sz w:val="22"/>
          <w:szCs w:val="22"/>
        </w:rPr>
        <w:t xml:space="preserve"> to local businesses. The initiative will</w:t>
      </w:r>
      <w:r w:rsidRPr="004B597D">
        <w:rPr>
          <w:sz w:val="22"/>
          <w:szCs w:val="22"/>
        </w:rPr>
        <w:t xml:space="preserve"> </w:t>
      </w:r>
      <w:r w:rsidR="00D22B36" w:rsidRPr="00505A01">
        <w:rPr>
          <w:sz w:val="22"/>
          <w:szCs w:val="22"/>
        </w:rPr>
        <w:t>provide</w:t>
      </w:r>
      <w:r w:rsidRPr="00505A01">
        <w:rPr>
          <w:sz w:val="22"/>
          <w:szCs w:val="22"/>
        </w:rPr>
        <w:t xml:space="preserve"> </w:t>
      </w:r>
      <w:r w:rsidRPr="004B597D">
        <w:rPr>
          <w:sz w:val="22"/>
          <w:szCs w:val="22"/>
        </w:rPr>
        <w:t>low-cost loans with less stringent underwriting requirements and flexible repayment terms</w:t>
      </w:r>
      <w:r w:rsidRPr="00505A01">
        <w:rPr>
          <w:sz w:val="22"/>
          <w:szCs w:val="22"/>
        </w:rPr>
        <w:t xml:space="preserve"> </w:t>
      </w:r>
      <w:r w:rsidRPr="004B597D">
        <w:rPr>
          <w:sz w:val="22"/>
          <w:szCs w:val="22"/>
        </w:rPr>
        <w:t xml:space="preserve">to </w:t>
      </w:r>
      <w:r w:rsidRPr="00505A01">
        <w:rPr>
          <w:sz w:val="22"/>
          <w:szCs w:val="22"/>
        </w:rPr>
        <w:t>Duval County</w:t>
      </w:r>
      <w:r w:rsidRPr="004B597D">
        <w:rPr>
          <w:sz w:val="22"/>
          <w:szCs w:val="22"/>
        </w:rPr>
        <w:t xml:space="preserve"> small businesses in need</w:t>
      </w:r>
      <w:r w:rsidR="00753D37" w:rsidRPr="00505A01">
        <w:rPr>
          <w:sz w:val="22"/>
          <w:szCs w:val="22"/>
        </w:rPr>
        <w:t>.</w:t>
      </w:r>
    </w:p>
    <w:p w14:paraId="61ABBC3C" w14:textId="146134CC" w:rsidR="00D22B36" w:rsidRPr="00505A01" w:rsidRDefault="00D22B36" w:rsidP="00672978">
      <w:pPr>
        <w:jc w:val="both"/>
        <w:rPr>
          <w:sz w:val="22"/>
          <w:szCs w:val="22"/>
        </w:rPr>
      </w:pPr>
    </w:p>
    <w:p w14:paraId="70333845" w14:textId="10436810" w:rsidR="00D22B36" w:rsidRPr="00505A01" w:rsidRDefault="00D22B36" w:rsidP="00672978">
      <w:pPr>
        <w:jc w:val="both"/>
        <w:rPr>
          <w:sz w:val="22"/>
          <w:szCs w:val="22"/>
        </w:rPr>
      </w:pPr>
      <w:proofErr w:type="spellStart"/>
      <w:r w:rsidRPr="00505A01">
        <w:rPr>
          <w:sz w:val="22"/>
          <w:szCs w:val="22"/>
        </w:rPr>
        <w:t>VyStar</w:t>
      </w:r>
      <w:proofErr w:type="spellEnd"/>
      <w:r w:rsidRPr="00505A01">
        <w:rPr>
          <w:sz w:val="22"/>
          <w:szCs w:val="22"/>
        </w:rPr>
        <w:t xml:space="preserve"> Credit Union will provide underwriting, processing, and servicing of the loans as well as be responsible for all credit losses due to default. The City of Jacksonville will provide certain grants and reimbursements of interest and/or principal balances when </w:t>
      </w:r>
      <w:r w:rsidR="00362F9F">
        <w:rPr>
          <w:sz w:val="22"/>
          <w:szCs w:val="22"/>
        </w:rPr>
        <w:t>participating</w:t>
      </w:r>
      <w:r w:rsidRPr="00505A01">
        <w:rPr>
          <w:sz w:val="22"/>
          <w:szCs w:val="22"/>
        </w:rPr>
        <w:t xml:space="preserve"> business</w:t>
      </w:r>
      <w:r w:rsidR="00362F9F">
        <w:rPr>
          <w:sz w:val="22"/>
          <w:szCs w:val="22"/>
        </w:rPr>
        <w:t>es</w:t>
      </w:r>
      <w:r w:rsidRPr="00505A01">
        <w:rPr>
          <w:sz w:val="22"/>
          <w:szCs w:val="22"/>
        </w:rPr>
        <w:t xml:space="preserve"> provide evidence of meeting criteria outlined by the City of Jacksonville, including, but not limited to, retention and/or re-hiring of workforce. The City-provided benefits are eligible for loans made in the first six months of the program, with an optional six-month extension.</w:t>
      </w:r>
    </w:p>
    <w:p w14:paraId="30A45AC4" w14:textId="2940D1C0" w:rsidR="00753D37" w:rsidRPr="00505A01" w:rsidRDefault="00753D37" w:rsidP="00672978">
      <w:pPr>
        <w:jc w:val="both"/>
        <w:rPr>
          <w:sz w:val="22"/>
          <w:szCs w:val="22"/>
        </w:rPr>
      </w:pPr>
    </w:p>
    <w:p w14:paraId="44B4A073" w14:textId="2BB1B1AC" w:rsidR="003B61D6" w:rsidRPr="00505A01" w:rsidRDefault="004B597D" w:rsidP="002C342B">
      <w:pPr>
        <w:jc w:val="both"/>
        <w:rPr>
          <w:b/>
          <w:bCs/>
          <w:sz w:val="22"/>
          <w:szCs w:val="22"/>
          <w:u w:val="single"/>
        </w:rPr>
      </w:pPr>
      <w:proofErr w:type="spellStart"/>
      <w:r w:rsidRPr="00505A01">
        <w:rPr>
          <w:rStyle w:val="IntenseReference"/>
          <w:color w:val="9C1A2F"/>
          <w:sz w:val="22"/>
          <w:szCs w:val="22"/>
          <w:u w:val="single"/>
        </w:rPr>
        <w:t>VyStar</w:t>
      </w:r>
      <w:proofErr w:type="spellEnd"/>
      <w:r w:rsidR="00D22B36" w:rsidRPr="00505A01">
        <w:rPr>
          <w:rStyle w:val="IntenseReference"/>
          <w:color w:val="9C1A2F"/>
          <w:sz w:val="22"/>
          <w:szCs w:val="22"/>
          <w:u w:val="single"/>
        </w:rPr>
        <w:t xml:space="preserve"> Loan Information</w:t>
      </w:r>
    </w:p>
    <w:p w14:paraId="1F819240" w14:textId="0793CFB8" w:rsidR="00D22B36" w:rsidRPr="00D22B36" w:rsidRDefault="00D22B36" w:rsidP="00D22B36">
      <w:pPr>
        <w:jc w:val="both"/>
        <w:rPr>
          <w:sz w:val="22"/>
          <w:szCs w:val="22"/>
        </w:rPr>
      </w:pPr>
      <w:r w:rsidRPr="00D22B36">
        <w:rPr>
          <w:sz w:val="22"/>
          <w:szCs w:val="22"/>
        </w:rPr>
        <w:t xml:space="preserve">The </w:t>
      </w:r>
      <w:r w:rsidRPr="00505A01">
        <w:rPr>
          <w:sz w:val="22"/>
          <w:szCs w:val="22"/>
        </w:rPr>
        <w:t>relief loan</w:t>
      </w:r>
      <w:r w:rsidRPr="00D22B36">
        <w:rPr>
          <w:sz w:val="22"/>
          <w:szCs w:val="22"/>
        </w:rPr>
        <w:t xml:space="preserve"> is structured to provide small businesses with </w:t>
      </w:r>
      <w:r w:rsidR="00362F9F">
        <w:rPr>
          <w:sz w:val="22"/>
          <w:szCs w:val="22"/>
        </w:rPr>
        <w:t>flexible</w:t>
      </w:r>
      <w:r w:rsidRPr="00D22B36">
        <w:rPr>
          <w:sz w:val="22"/>
          <w:szCs w:val="22"/>
        </w:rPr>
        <w:t xml:space="preserve"> funds they need, when they need them.</w:t>
      </w:r>
    </w:p>
    <w:p w14:paraId="48D473E5" w14:textId="77777777" w:rsidR="00D22B36" w:rsidRPr="00D22B36" w:rsidRDefault="00D22B36" w:rsidP="00D22B36">
      <w:pPr>
        <w:jc w:val="both"/>
        <w:rPr>
          <w:sz w:val="22"/>
          <w:szCs w:val="22"/>
        </w:rPr>
      </w:pPr>
    </w:p>
    <w:p w14:paraId="196EFF72" w14:textId="77777777" w:rsidR="00D22B36" w:rsidRPr="00D22B36" w:rsidRDefault="00D22B36" w:rsidP="00D22B36">
      <w:pPr>
        <w:jc w:val="both"/>
        <w:rPr>
          <w:i/>
          <w:iCs/>
          <w:sz w:val="22"/>
          <w:szCs w:val="22"/>
        </w:rPr>
      </w:pPr>
      <w:r w:rsidRPr="00D22B36">
        <w:rPr>
          <w:i/>
          <w:iCs/>
          <w:sz w:val="22"/>
          <w:szCs w:val="22"/>
        </w:rPr>
        <w:t>LOAN HIGHLIGHTS</w:t>
      </w:r>
    </w:p>
    <w:p w14:paraId="524A776E" w14:textId="77777777" w:rsidR="00D22B36" w:rsidRPr="00D22B36" w:rsidRDefault="00D22B36" w:rsidP="00D22B36">
      <w:pPr>
        <w:numPr>
          <w:ilvl w:val="0"/>
          <w:numId w:val="2"/>
        </w:numPr>
        <w:jc w:val="both"/>
        <w:rPr>
          <w:sz w:val="22"/>
          <w:szCs w:val="22"/>
        </w:rPr>
      </w:pPr>
      <w:r w:rsidRPr="00D22B36">
        <w:rPr>
          <w:sz w:val="22"/>
          <w:szCs w:val="22"/>
        </w:rPr>
        <w:t>No minimum loan amount; maximum loan amount of $100,000.</w:t>
      </w:r>
    </w:p>
    <w:p w14:paraId="0DD48796" w14:textId="228D7B2B" w:rsidR="00D22B36" w:rsidRPr="00D22B36" w:rsidRDefault="00D22B36" w:rsidP="00D22B36">
      <w:pPr>
        <w:numPr>
          <w:ilvl w:val="0"/>
          <w:numId w:val="2"/>
        </w:numPr>
        <w:jc w:val="both"/>
        <w:rPr>
          <w:sz w:val="22"/>
          <w:szCs w:val="22"/>
        </w:rPr>
      </w:pPr>
      <w:r w:rsidRPr="00D22B36">
        <w:rPr>
          <w:sz w:val="22"/>
          <w:szCs w:val="22"/>
        </w:rPr>
        <w:t>Fixed interest rate of 5.99%.</w:t>
      </w:r>
    </w:p>
    <w:p w14:paraId="2D624A0E" w14:textId="3C0C2884" w:rsidR="00D22B36" w:rsidRPr="00505A01" w:rsidRDefault="00D22B36" w:rsidP="00D22B36">
      <w:pPr>
        <w:numPr>
          <w:ilvl w:val="0"/>
          <w:numId w:val="2"/>
        </w:numPr>
        <w:jc w:val="both"/>
        <w:rPr>
          <w:sz w:val="22"/>
          <w:szCs w:val="22"/>
        </w:rPr>
      </w:pPr>
      <w:r w:rsidRPr="00D22B36">
        <w:rPr>
          <w:sz w:val="22"/>
          <w:szCs w:val="22"/>
        </w:rPr>
        <w:t xml:space="preserve">$250 underwriting fee </w:t>
      </w:r>
      <w:r w:rsidR="0090778A" w:rsidRPr="00505A01">
        <w:rPr>
          <w:sz w:val="22"/>
          <w:szCs w:val="22"/>
        </w:rPr>
        <w:t xml:space="preserve">waived for small businesses </w:t>
      </w:r>
      <w:r w:rsidRPr="00D22B36">
        <w:rPr>
          <w:sz w:val="22"/>
          <w:szCs w:val="22"/>
        </w:rPr>
        <w:t>for each loa</w:t>
      </w:r>
      <w:r w:rsidR="0090778A" w:rsidRPr="00505A01">
        <w:rPr>
          <w:sz w:val="22"/>
          <w:szCs w:val="22"/>
        </w:rPr>
        <w:t>n</w:t>
      </w:r>
      <w:r w:rsidRPr="00D22B36">
        <w:rPr>
          <w:sz w:val="22"/>
          <w:szCs w:val="22"/>
        </w:rPr>
        <w:t xml:space="preserve"> (</w:t>
      </w:r>
      <w:r w:rsidR="0090778A" w:rsidRPr="00505A01">
        <w:rPr>
          <w:sz w:val="22"/>
          <w:szCs w:val="22"/>
        </w:rPr>
        <w:t xml:space="preserve">credited by </w:t>
      </w:r>
      <w:proofErr w:type="spellStart"/>
      <w:r w:rsidR="0090778A" w:rsidRPr="00505A01">
        <w:rPr>
          <w:sz w:val="22"/>
          <w:szCs w:val="22"/>
        </w:rPr>
        <w:t>VyStar</w:t>
      </w:r>
      <w:proofErr w:type="spellEnd"/>
      <w:r w:rsidRPr="00D22B36">
        <w:rPr>
          <w:sz w:val="22"/>
          <w:szCs w:val="22"/>
        </w:rPr>
        <w:t xml:space="preserve"> for loans under $5,000</w:t>
      </w:r>
      <w:r w:rsidRPr="00505A01">
        <w:rPr>
          <w:sz w:val="22"/>
          <w:szCs w:val="22"/>
        </w:rPr>
        <w:t xml:space="preserve"> and paid for by City of Jacksonville for loans above $5,000</w:t>
      </w:r>
      <w:r w:rsidRPr="00D22B36">
        <w:rPr>
          <w:sz w:val="22"/>
          <w:szCs w:val="22"/>
        </w:rPr>
        <w:t>).</w:t>
      </w:r>
    </w:p>
    <w:p w14:paraId="2EBFB648" w14:textId="4737B3DC" w:rsidR="00D22B36" w:rsidRPr="00D22B36" w:rsidRDefault="00CB7363" w:rsidP="00D22B36">
      <w:pPr>
        <w:numPr>
          <w:ilvl w:val="0"/>
          <w:numId w:val="2"/>
        </w:numPr>
        <w:jc w:val="both"/>
        <w:rPr>
          <w:sz w:val="22"/>
          <w:szCs w:val="22"/>
        </w:rPr>
      </w:pPr>
      <w:r w:rsidRPr="00CB7363">
        <w:rPr>
          <w:sz w:val="22"/>
          <w:szCs w:val="22"/>
        </w:rPr>
        <w:t>Quick loan approval and funding (3-5 days)</w:t>
      </w:r>
    </w:p>
    <w:p w14:paraId="0BC0AEAB" w14:textId="77777777" w:rsidR="00D22B36" w:rsidRPr="00D22B36" w:rsidRDefault="00D22B36" w:rsidP="00D22B36">
      <w:pPr>
        <w:jc w:val="both"/>
        <w:rPr>
          <w:i/>
          <w:iCs/>
          <w:sz w:val="22"/>
          <w:szCs w:val="22"/>
        </w:rPr>
      </w:pPr>
      <w:r w:rsidRPr="00D22B36">
        <w:rPr>
          <w:i/>
          <w:iCs/>
          <w:sz w:val="22"/>
          <w:szCs w:val="22"/>
        </w:rPr>
        <w:t>FLEXIBLE REPAYMENT OPTIONS</w:t>
      </w:r>
    </w:p>
    <w:p w14:paraId="79F986AC" w14:textId="4C947AF8" w:rsidR="00D22B36" w:rsidRPr="00505A01" w:rsidRDefault="00D22B36" w:rsidP="00D22B36">
      <w:pPr>
        <w:pStyle w:val="ListParagraph"/>
        <w:numPr>
          <w:ilvl w:val="0"/>
          <w:numId w:val="4"/>
        </w:numPr>
        <w:jc w:val="both"/>
        <w:rPr>
          <w:sz w:val="22"/>
          <w:szCs w:val="22"/>
        </w:rPr>
      </w:pPr>
      <w:r w:rsidRPr="00505A01">
        <w:rPr>
          <w:sz w:val="22"/>
          <w:szCs w:val="22"/>
        </w:rPr>
        <w:t>Six (6) month draw period allows businesses to use only what they need as they need it – they do not need to advance (or pay interest on) the entire amount approved at once; rather, the</w:t>
      </w:r>
      <w:r w:rsidR="00362F9F">
        <w:rPr>
          <w:sz w:val="22"/>
          <w:szCs w:val="22"/>
        </w:rPr>
        <w:t>y</w:t>
      </w:r>
      <w:r w:rsidRPr="00505A01">
        <w:rPr>
          <w:sz w:val="22"/>
          <w:szCs w:val="22"/>
        </w:rPr>
        <w:t xml:space="preserve"> may advance and repay funds over the six (6) month draw period to cover expenses as they arise.</w:t>
      </w:r>
    </w:p>
    <w:p w14:paraId="35172443" w14:textId="61AAF027" w:rsidR="00A217AC" w:rsidRPr="00505A01" w:rsidRDefault="00D22B36" w:rsidP="00A217AC">
      <w:pPr>
        <w:numPr>
          <w:ilvl w:val="0"/>
          <w:numId w:val="3"/>
        </w:numPr>
        <w:jc w:val="both"/>
        <w:rPr>
          <w:sz w:val="22"/>
          <w:szCs w:val="22"/>
        </w:rPr>
      </w:pPr>
      <w:r w:rsidRPr="00D22B36">
        <w:rPr>
          <w:sz w:val="22"/>
          <w:szCs w:val="22"/>
        </w:rPr>
        <w:t>Interest-</w:t>
      </w:r>
      <w:r w:rsidR="00362F9F">
        <w:rPr>
          <w:sz w:val="22"/>
          <w:szCs w:val="22"/>
        </w:rPr>
        <w:t>o</w:t>
      </w:r>
      <w:r w:rsidRPr="00D22B36">
        <w:rPr>
          <w:sz w:val="22"/>
          <w:szCs w:val="22"/>
        </w:rPr>
        <w:t>nly payments for the first year ensure repayment costs remain low as the small business works through the pandemic response and rebuilding periods.</w:t>
      </w:r>
      <w:r w:rsidRPr="00505A01">
        <w:rPr>
          <w:sz w:val="22"/>
          <w:szCs w:val="22"/>
        </w:rPr>
        <w:t xml:space="preserve"> Principal and interest (P&amp;I) payments begin in year 2 at an amount sufficient to repay the loan in 60 months.</w:t>
      </w:r>
    </w:p>
    <w:p w14:paraId="30B8628F" w14:textId="77777777" w:rsidR="00A217AC" w:rsidRPr="00505A01" w:rsidRDefault="00A217AC" w:rsidP="00A217AC">
      <w:pPr>
        <w:jc w:val="both"/>
        <w:rPr>
          <w:i/>
          <w:iCs/>
          <w:sz w:val="22"/>
          <w:szCs w:val="22"/>
        </w:rPr>
      </w:pPr>
      <w:r w:rsidRPr="00505A01">
        <w:rPr>
          <w:i/>
          <w:iCs/>
          <w:sz w:val="22"/>
          <w:szCs w:val="22"/>
        </w:rPr>
        <w:t>SMALL BUSINESS INFORMATION</w:t>
      </w:r>
    </w:p>
    <w:p w14:paraId="11C0194C" w14:textId="77777777" w:rsidR="003E1D93" w:rsidRPr="003E1D93" w:rsidRDefault="003E1D93" w:rsidP="003E1D93">
      <w:pPr>
        <w:numPr>
          <w:ilvl w:val="0"/>
          <w:numId w:val="2"/>
        </w:numPr>
        <w:jc w:val="both"/>
        <w:rPr>
          <w:sz w:val="22"/>
          <w:szCs w:val="22"/>
        </w:rPr>
      </w:pPr>
      <w:r w:rsidRPr="003E1D93">
        <w:rPr>
          <w:sz w:val="22"/>
          <w:szCs w:val="22"/>
        </w:rPr>
        <w:t>Business must have at least one (1) year in operations (three (3) year requirement waived) and provide most recent year’s filed tax returns for business and all owners.</w:t>
      </w:r>
    </w:p>
    <w:p w14:paraId="11972E09" w14:textId="77777777" w:rsidR="003E1D93" w:rsidRPr="003E1D93" w:rsidRDefault="003E1D93" w:rsidP="003E1D93">
      <w:pPr>
        <w:numPr>
          <w:ilvl w:val="0"/>
          <w:numId w:val="2"/>
        </w:numPr>
        <w:jc w:val="both"/>
        <w:rPr>
          <w:sz w:val="22"/>
          <w:szCs w:val="22"/>
        </w:rPr>
      </w:pPr>
      <w:r w:rsidRPr="003E1D93">
        <w:rPr>
          <w:sz w:val="22"/>
          <w:szCs w:val="22"/>
        </w:rPr>
        <w:t xml:space="preserve">Business must have between 2 and 100 employees in addition to business owners. </w:t>
      </w:r>
    </w:p>
    <w:p w14:paraId="776882EB" w14:textId="77777777" w:rsidR="003E1D93" w:rsidRPr="00505A01" w:rsidRDefault="003E1D93" w:rsidP="00A217AC">
      <w:pPr>
        <w:numPr>
          <w:ilvl w:val="0"/>
          <w:numId w:val="2"/>
        </w:numPr>
        <w:jc w:val="both"/>
        <w:rPr>
          <w:sz w:val="22"/>
          <w:szCs w:val="22"/>
        </w:rPr>
      </w:pPr>
      <w:r w:rsidRPr="003E1D93">
        <w:rPr>
          <w:sz w:val="22"/>
          <w:szCs w:val="22"/>
        </w:rPr>
        <w:t>While personal guarantee is required from all business owners, minimum personal credit score of 720 is waived for this program.</w:t>
      </w:r>
    </w:p>
    <w:p w14:paraId="75895615" w14:textId="3853445F" w:rsidR="00A217AC" w:rsidRDefault="00CB7363" w:rsidP="00A217AC">
      <w:pPr>
        <w:numPr>
          <w:ilvl w:val="0"/>
          <w:numId w:val="2"/>
        </w:numPr>
        <w:jc w:val="both"/>
        <w:rPr>
          <w:sz w:val="22"/>
          <w:szCs w:val="22"/>
        </w:rPr>
      </w:pPr>
      <w:r w:rsidRPr="00CB7363">
        <w:rPr>
          <w:sz w:val="22"/>
          <w:szCs w:val="22"/>
        </w:rPr>
        <w:t xml:space="preserve">Must not be a business type excluded by the State of Florida’s Florida Small Business Emergency Bridge Loan Program or by </w:t>
      </w:r>
      <w:proofErr w:type="spellStart"/>
      <w:r w:rsidRPr="00CB7363">
        <w:rPr>
          <w:sz w:val="22"/>
          <w:szCs w:val="22"/>
        </w:rPr>
        <w:t>VyStar’s</w:t>
      </w:r>
      <w:proofErr w:type="spellEnd"/>
      <w:r w:rsidRPr="00CB7363">
        <w:rPr>
          <w:sz w:val="22"/>
          <w:szCs w:val="22"/>
        </w:rPr>
        <w:t xml:space="preserve"> standard lending criteria</w:t>
      </w:r>
    </w:p>
    <w:p w14:paraId="6D72C28E" w14:textId="4E6B8EF2" w:rsidR="00017160" w:rsidRPr="00505A01" w:rsidRDefault="00017160" w:rsidP="00017160">
      <w:pPr>
        <w:numPr>
          <w:ilvl w:val="1"/>
          <w:numId w:val="2"/>
        </w:numPr>
        <w:jc w:val="both"/>
        <w:rPr>
          <w:sz w:val="22"/>
          <w:szCs w:val="22"/>
        </w:rPr>
      </w:pPr>
      <w:r>
        <w:rPr>
          <w:sz w:val="22"/>
          <w:szCs w:val="22"/>
        </w:rPr>
        <w:t>Nonprofits are eligible to participate</w:t>
      </w:r>
    </w:p>
    <w:p w14:paraId="144651FD" w14:textId="77777777" w:rsidR="00D22B36" w:rsidRPr="00505A01" w:rsidRDefault="00D22B36" w:rsidP="00D22B36">
      <w:pPr>
        <w:jc w:val="both"/>
        <w:rPr>
          <w:sz w:val="22"/>
          <w:szCs w:val="22"/>
        </w:rPr>
      </w:pPr>
    </w:p>
    <w:p w14:paraId="6F724953" w14:textId="7A004895" w:rsidR="002C342B" w:rsidRPr="00505A01" w:rsidRDefault="004B597D" w:rsidP="00672978">
      <w:pPr>
        <w:jc w:val="both"/>
        <w:rPr>
          <w:sz w:val="22"/>
          <w:szCs w:val="22"/>
          <w:u w:val="single"/>
        </w:rPr>
      </w:pPr>
      <w:r w:rsidRPr="00505A01">
        <w:rPr>
          <w:rStyle w:val="IntenseReference"/>
          <w:color w:val="9C1A2F"/>
          <w:sz w:val="22"/>
          <w:szCs w:val="22"/>
          <w:u w:val="single"/>
        </w:rPr>
        <w:t>City of Jacksonville</w:t>
      </w:r>
      <w:r w:rsidR="00D22B36" w:rsidRPr="00505A01">
        <w:rPr>
          <w:rStyle w:val="IntenseReference"/>
          <w:color w:val="9C1A2F"/>
          <w:sz w:val="22"/>
          <w:szCs w:val="22"/>
          <w:u w:val="single"/>
        </w:rPr>
        <w:t xml:space="preserve"> Enhancements</w:t>
      </w:r>
    </w:p>
    <w:p w14:paraId="6E2EE2D2" w14:textId="2291676B" w:rsidR="004B597D" w:rsidRPr="004B597D" w:rsidRDefault="004B597D" w:rsidP="004B597D">
      <w:pPr>
        <w:numPr>
          <w:ilvl w:val="0"/>
          <w:numId w:val="1"/>
        </w:numPr>
        <w:jc w:val="both"/>
        <w:rPr>
          <w:sz w:val="22"/>
          <w:szCs w:val="22"/>
        </w:rPr>
      </w:pPr>
      <w:r w:rsidRPr="004B597D">
        <w:rPr>
          <w:sz w:val="22"/>
          <w:szCs w:val="22"/>
        </w:rPr>
        <w:t xml:space="preserve">City will grant $1,000 to each business awarded </w:t>
      </w:r>
      <w:r w:rsidRPr="00505A01">
        <w:rPr>
          <w:sz w:val="22"/>
          <w:szCs w:val="22"/>
        </w:rPr>
        <w:t>a loan for a maximum city indebtedness of</w:t>
      </w:r>
      <w:r w:rsidRPr="004B597D">
        <w:rPr>
          <w:sz w:val="22"/>
          <w:szCs w:val="22"/>
        </w:rPr>
        <w:t xml:space="preserve"> $3 million (</w:t>
      </w:r>
      <w:r w:rsidRPr="00505A01">
        <w:rPr>
          <w:sz w:val="22"/>
          <w:szCs w:val="22"/>
        </w:rPr>
        <w:t xml:space="preserve">these grants will be provided to up to the </w:t>
      </w:r>
      <w:r w:rsidRPr="004B597D">
        <w:rPr>
          <w:sz w:val="22"/>
          <w:szCs w:val="22"/>
        </w:rPr>
        <w:t>first 3,000 loan</w:t>
      </w:r>
      <w:r w:rsidRPr="00505A01">
        <w:rPr>
          <w:sz w:val="22"/>
          <w:szCs w:val="22"/>
        </w:rPr>
        <w:t xml:space="preserve"> recipients)</w:t>
      </w:r>
    </w:p>
    <w:p w14:paraId="17C07C8A" w14:textId="77777777" w:rsidR="004B597D" w:rsidRPr="004B597D" w:rsidRDefault="004B597D" w:rsidP="004B597D">
      <w:pPr>
        <w:numPr>
          <w:ilvl w:val="0"/>
          <w:numId w:val="1"/>
        </w:numPr>
        <w:tabs>
          <w:tab w:val="num" w:pos="720"/>
        </w:tabs>
        <w:jc w:val="both"/>
        <w:rPr>
          <w:sz w:val="22"/>
          <w:szCs w:val="22"/>
        </w:rPr>
      </w:pPr>
      <w:r w:rsidRPr="004B597D">
        <w:rPr>
          <w:sz w:val="22"/>
          <w:szCs w:val="22"/>
        </w:rPr>
        <w:t>City will provide a grant to pay interest costs in Year 1 for all businesses</w:t>
      </w:r>
    </w:p>
    <w:p w14:paraId="4E76837D" w14:textId="753F7E1A" w:rsidR="004B597D" w:rsidRPr="004B597D" w:rsidRDefault="004B597D" w:rsidP="004B597D">
      <w:pPr>
        <w:numPr>
          <w:ilvl w:val="0"/>
          <w:numId w:val="1"/>
        </w:numPr>
        <w:tabs>
          <w:tab w:val="num" w:pos="720"/>
        </w:tabs>
        <w:jc w:val="both"/>
        <w:rPr>
          <w:sz w:val="22"/>
          <w:szCs w:val="22"/>
        </w:rPr>
      </w:pPr>
      <w:r w:rsidRPr="004B597D">
        <w:rPr>
          <w:sz w:val="22"/>
          <w:szCs w:val="22"/>
        </w:rPr>
        <w:t>City will provide a grant to pay interest costs in Years 2-6 if the business maintains employment of at lea</w:t>
      </w:r>
      <w:r w:rsidR="00116E27">
        <w:rPr>
          <w:sz w:val="22"/>
          <w:szCs w:val="22"/>
        </w:rPr>
        <w:t>st 5</w:t>
      </w:r>
      <w:r w:rsidRPr="004B597D">
        <w:rPr>
          <w:sz w:val="22"/>
          <w:szCs w:val="22"/>
        </w:rPr>
        <w:t>0% of its pre- COVID-19 workforce (</w:t>
      </w:r>
      <w:r w:rsidRPr="00505A01">
        <w:rPr>
          <w:sz w:val="22"/>
          <w:szCs w:val="22"/>
        </w:rPr>
        <w:t xml:space="preserve">using </w:t>
      </w:r>
      <w:r w:rsidRPr="004B597D">
        <w:rPr>
          <w:sz w:val="22"/>
          <w:szCs w:val="22"/>
        </w:rPr>
        <w:t xml:space="preserve">Feb. 29 </w:t>
      </w:r>
      <w:r w:rsidRPr="00505A01">
        <w:rPr>
          <w:sz w:val="22"/>
          <w:szCs w:val="22"/>
        </w:rPr>
        <w:t xml:space="preserve">as </w:t>
      </w:r>
      <w:r w:rsidRPr="004B597D">
        <w:rPr>
          <w:sz w:val="22"/>
          <w:szCs w:val="22"/>
        </w:rPr>
        <w:t>base employment</w:t>
      </w:r>
      <w:r w:rsidRPr="00505A01">
        <w:rPr>
          <w:sz w:val="22"/>
          <w:szCs w:val="22"/>
        </w:rPr>
        <w:t xml:space="preserve"> date</w:t>
      </w:r>
      <w:r w:rsidRPr="004B597D">
        <w:rPr>
          <w:sz w:val="22"/>
          <w:szCs w:val="22"/>
        </w:rPr>
        <w:t>)</w:t>
      </w:r>
    </w:p>
    <w:p w14:paraId="339F2595" w14:textId="77777777" w:rsidR="004B597D" w:rsidRPr="004B597D" w:rsidRDefault="004B597D" w:rsidP="004B597D">
      <w:pPr>
        <w:numPr>
          <w:ilvl w:val="0"/>
          <w:numId w:val="1"/>
        </w:numPr>
        <w:tabs>
          <w:tab w:val="num" w:pos="720"/>
        </w:tabs>
        <w:jc w:val="both"/>
        <w:rPr>
          <w:sz w:val="22"/>
          <w:szCs w:val="22"/>
        </w:rPr>
      </w:pPr>
      <w:r w:rsidRPr="004B597D">
        <w:rPr>
          <w:sz w:val="22"/>
          <w:szCs w:val="22"/>
        </w:rPr>
        <w:t>City will provide a grant to pay 10% of the outstanding loan balance each year if the business employs at least 100% of its pre- COVID-19 workforce</w:t>
      </w:r>
    </w:p>
    <w:p w14:paraId="7B71906E" w14:textId="645E43B5" w:rsidR="004B597D" w:rsidRPr="004B597D" w:rsidRDefault="004B597D" w:rsidP="004B597D">
      <w:pPr>
        <w:numPr>
          <w:ilvl w:val="0"/>
          <w:numId w:val="1"/>
        </w:numPr>
        <w:tabs>
          <w:tab w:val="num" w:pos="720"/>
        </w:tabs>
        <w:jc w:val="both"/>
        <w:rPr>
          <w:sz w:val="22"/>
          <w:szCs w:val="22"/>
        </w:rPr>
      </w:pPr>
      <w:r w:rsidRPr="004B597D">
        <w:rPr>
          <w:sz w:val="22"/>
          <w:szCs w:val="22"/>
        </w:rPr>
        <w:t>To receive the grant payments, each business must submit sufficient documentation of employment on a form prescribed by the City</w:t>
      </w:r>
    </w:p>
    <w:p w14:paraId="51D9B9BA" w14:textId="78A83E10" w:rsidR="00CB7363" w:rsidRPr="00505A01" w:rsidRDefault="004B597D" w:rsidP="003E1D93">
      <w:pPr>
        <w:numPr>
          <w:ilvl w:val="0"/>
          <w:numId w:val="1"/>
        </w:numPr>
        <w:jc w:val="both"/>
        <w:rPr>
          <w:sz w:val="22"/>
          <w:szCs w:val="22"/>
        </w:rPr>
      </w:pPr>
      <w:r w:rsidRPr="004B597D">
        <w:rPr>
          <w:sz w:val="22"/>
          <w:szCs w:val="22"/>
        </w:rPr>
        <w:t xml:space="preserve">City will </w:t>
      </w:r>
      <w:r w:rsidR="00A217AC" w:rsidRPr="00505A01">
        <w:rPr>
          <w:sz w:val="22"/>
          <w:szCs w:val="22"/>
        </w:rPr>
        <w:t>cover</w:t>
      </w:r>
      <w:r w:rsidRPr="004B597D">
        <w:rPr>
          <w:sz w:val="22"/>
          <w:szCs w:val="22"/>
        </w:rPr>
        <w:t xml:space="preserve"> </w:t>
      </w:r>
      <w:proofErr w:type="spellStart"/>
      <w:r w:rsidRPr="004B597D">
        <w:rPr>
          <w:sz w:val="22"/>
          <w:szCs w:val="22"/>
        </w:rPr>
        <w:t>VyStar</w:t>
      </w:r>
      <w:r w:rsidR="00A217AC" w:rsidRPr="00505A01">
        <w:rPr>
          <w:sz w:val="22"/>
          <w:szCs w:val="22"/>
        </w:rPr>
        <w:t>’s</w:t>
      </w:r>
      <w:proofErr w:type="spellEnd"/>
      <w:r w:rsidRPr="004B597D">
        <w:rPr>
          <w:sz w:val="22"/>
          <w:szCs w:val="22"/>
        </w:rPr>
        <w:t xml:space="preserve"> $250 </w:t>
      </w:r>
      <w:r w:rsidR="00CB7363" w:rsidRPr="00505A01">
        <w:rPr>
          <w:sz w:val="22"/>
          <w:szCs w:val="22"/>
        </w:rPr>
        <w:t xml:space="preserve">underwriting fee </w:t>
      </w:r>
      <w:r w:rsidRPr="004B597D">
        <w:rPr>
          <w:sz w:val="22"/>
          <w:szCs w:val="22"/>
        </w:rPr>
        <w:t>per loan on all loans $5,000 or greater to underwrite and administer the loans</w:t>
      </w:r>
    </w:p>
    <w:sectPr w:rsidR="00CB7363" w:rsidRPr="00505A01" w:rsidSect="00505A0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D2461" w14:textId="77777777" w:rsidR="00777A0E" w:rsidRDefault="00777A0E" w:rsidP="00B2678B">
      <w:r>
        <w:separator/>
      </w:r>
    </w:p>
  </w:endnote>
  <w:endnote w:type="continuationSeparator" w:id="0">
    <w:p w14:paraId="277245E1" w14:textId="77777777" w:rsidR="00777A0E" w:rsidRDefault="00777A0E" w:rsidP="00B2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C019" w14:textId="77777777" w:rsidR="00777A0E" w:rsidRDefault="00777A0E" w:rsidP="00B2678B">
      <w:r>
        <w:separator/>
      </w:r>
    </w:p>
  </w:footnote>
  <w:footnote w:type="continuationSeparator" w:id="0">
    <w:p w14:paraId="68739FA5" w14:textId="77777777" w:rsidR="00777A0E" w:rsidRDefault="00777A0E" w:rsidP="00B2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928D9" w14:textId="7DA91658" w:rsidR="00A47F6E" w:rsidRPr="002C342B" w:rsidRDefault="004B597D" w:rsidP="004B597D">
    <w:pPr>
      <w:jc w:val="center"/>
      <w:rPr>
        <w:b/>
        <w:bCs/>
        <w:color w:val="9C1A2F"/>
        <w:sz w:val="28"/>
        <w:szCs w:val="28"/>
      </w:rPr>
    </w:pPr>
    <w:r>
      <w:rPr>
        <w:b/>
        <w:bCs/>
        <w:color w:val="9C1A2F"/>
        <w:sz w:val="28"/>
        <w:szCs w:val="28"/>
      </w:rPr>
      <w:t xml:space="preserve">COVID-19 Small Business Relief Loan Program </w:t>
    </w:r>
  </w:p>
  <w:p w14:paraId="2AA0C82D" w14:textId="46F79C19" w:rsidR="00A47F6E" w:rsidRPr="002C342B" w:rsidRDefault="004B597D" w:rsidP="004B597D">
    <w:pPr>
      <w:jc w:val="center"/>
      <w:rPr>
        <w:b/>
        <w:bCs/>
        <w:color w:val="9C1A2F"/>
        <w:sz w:val="28"/>
        <w:szCs w:val="28"/>
      </w:rPr>
    </w:pPr>
    <w:proofErr w:type="spellStart"/>
    <w:r>
      <w:rPr>
        <w:b/>
        <w:bCs/>
        <w:color w:val="9C1A2F"/>
        <w:sz w:val="28"/>
        <w:szCs w:val="28"/>
      </w:rPr>
      <w:t>VyStar</w:t>
    </w:r>
    <w:proofErr w:type="spellEnd"/>
    <w:r>
      <w:rPr>
        <w:b/>
        <w:bCs/>
        <w:color w:val="9C1A2F"/>
        <w:sz w:val="28"/>
        <w:szCs w:val="28"/>
      </w:rPr>
      <w:t xml:space="preserve"> Credit Union &amp; City of Jacksonville</w:t>
    </w:r>
  </w:p>
  <w:p w14:paraId="31754A86" w14:textId="6F7658FE" w:rsidR="00B2678B" w:rsidRDefault="00A47F6E" w:rsidP="00A47F6E">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5BE"/>
    <w:multiLevelType w:val="hybridMultilevel"/>
    <w:tmpl w:val="BA2CA650"/>
    <w:lvl w:ilvl="0" w:tplc="04090001">
      <w:start w:val="1"/>
      <w:numFmt w:val="bullet"/>
      <w:lvlText w:val=""/>
      <w:lvlJc w:val="left"/>
      <w:pPr>
        <w:ind w:left="720" w:hanging="360"/>
      </w:pPr>
      <w:rPr>
        <w:rFonts w:ascii="Symbol" w:hAnsi="Symbol" w:cs="Symbol" w:hint="default"/>
      </w:rPr>
    </w:lvl>
    <w:lvl w:ilvl="1" w:tplc="8C729D9C">
      <w:numFmt w:val="bullet"/>
      <w:lvlText w:val=""/>
      <w:lvlJc w:val="left"/>
      <w:pPr>
        <w:tabs>
          <w:tab w:val="num" w:pos="1440"/>
        </w:tabs>
        <w:ind w:left="1440" w:hanging="360"/>
      </w:pPr>
      <w:rPr>
        <w:rFonts w:ascii="Courier New" w:hAnsi="Courier New" w:hint="default"/>
      </w:rPr>
    </w:lvl>
    <w:lvl w:ilvl="2" w:tplc="F7AE59DC" w:tentative="1">
      <w:start w:val="1"/>
      <w:numFmt w:val="bullet"/>
      <w:lvlText w:val="•"/>
      <w:lvlJc w:val="left"/>
      <w:pPr>
        <w:tabs>
          <w:tab w:val="num" w:pos="2160"/>
        </w:tabs>
        <w:ind w:left="2160" w:hanging="360"/>
      </w:pPr>
      <w:rPr>
        <w:rFonts w:ascii="Arial" w:hAnsi="Arial" w:hint="default"/>
      </w:rPr>
    </w:lvl>
    <w:lvl w:ilvl="3" w:tplc="AC60810E" w:tentative="1">
      <w:start w:val="1"/>
      <w:numFmt w:val="bullet"/>
      <w:lvlText w:val="•"/>
      <w:lvlJc w:val="left"/>
      <w:pPr>
        <w:tabs>
          <w:tab w:val="num" w:pos="2880"/>
        </w:tabs>
        <w:ind w:left="2880" w:hanging="360"/>
      </w:pPr>
      <w:rPr>
        <w:rFonts w:ascii="Arial" w:hAnsi="Arial" w:hint="default"/>
      </w:rPr>
    </w:lvl>
    <w:lvl w:ilvl="4" w:tplc="780249DA" w:tentative="1">
      <w:start w:val="1"/>
      <w:numFmt w:val="bullet"/>
      <w:lvlText w:val="•"/>
      <w:lvlJc w:val="left"/>
      <w:pPr>
        <w:tabs>
          <w:tab w:val="num" w:pos="3600"/>
        </w:tabs>
        <w:ind w:left="3600" w:hanging="360"/>
      </w:pPr>
      <w:rPr>
        <w:rFonts w:ascii="Arial" w:hAnsi="Arial" w:hint="default"/>
      </w:rPr>
    </w:lvl>
    <w:lvl w:ilvl="5" w:tplc="B4941198" w:tentative="1">
      <w:start w:val="1"/>
      <w:numFmt w:val="bullet"/>
      <w:lvlText w:val="•"/>
      <w:lvlJc w:val="left"/>
      <w:pPr>
        <w:tabs>
          <w:tab w:val="num" w:pos="4320"/>
        </w:tabs>
        <w:ind w:left="4320" w:hanging="360"/>
      </w:pPr>
      <w:rPr>
        <w:rFonts w:ascii="Arial" w:hAnsi="Arial" w:hint="default"/>
      </w:rPr>
    </w:lvl>
    <w:lvl w:ilvl="6" w:tplc="4F3C4228" w:tentative="1">
      <w:start w:val="1"/>
      <w:numFmt w:val="bullet"/>
      <w:lvlText w:val="•"/>
      <w:lvlJc w:val="left"/>
      <w:pPr>
        <w:tabs>
          <w:tab w:val="num" w:pos="5040"/>
        </w:tabs>
        <w:ind w:left="5040" w:hanging="360"/>
      </w:pPr>
      <w:rPr>
        <w:rFonts w:ascii="Arial" w:hAnsi="Arial" w:hint="default"/>
      </w:rPr>
    </w:lvl>
    <w:lvl w:ilvl="7" w:tplc="79F89D72" w:tentative="1">
      <w:start w:val="1"/>
      <w:numFmt w:val="bullet"/>
      <w:lvlText w:val="•"/>
      <w:lvlJc w:val="left"/>
      <w:pPr>
        <w:tabs>
          <w:tab w:val="num" w:pos="5760"/>
        </w:tabs>
        <w:ind w:left="5760" w:hanging="360"/>
      </w:pPr>
      <w:rPr>
        <w:rFonts w:ascii="Arial" w:hAnsi="Arial" w:hint="default"/>
      </w:rPr>
    </w:lvl>
    <w:lvl w:ilvl="8" w:tplc="8B560B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276088"/>
    <w:multiLevelType w:val="hybridMultilevel"/>
    <w:tmpl w:val="224866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F8C119B"/>
    <w:multiLevelType w:val="hybridMultilevel"/>
    <w:tmpl w:val="F8D6AE2E"/>
    <w:lvl w:ilvl="0" w:tplc="04090001">
      <w:start w:val="1"/>
      <w:numFmt w:val="bullet"/>
      <w:lvlText w:val=""/>
      <w:lvlJc w:val="left"/>
      <w:pPr>
        <w:ind w:left="720" w:hanging="360"/>
      </w:pPr>
      <w:rPr>
        <w:rFonts w:ascii="Symbol" w:hAnsi="Symbol" w:cs="Symbol" w:hint="default"/>
      </w:rPr>
    </w:lvl>
    <w:lvl w:ilvl="1" w:tplc="AD3A0ADA">
      <w:start w:val="1"/>
      <w:numFmt w:val="bullet"/>
      <w:lvlText w:val="•"/>
      <w:lvlJc w:val="left"/>
      <w:pPr>
        <w:tabs>
          <w:tab w:val="num" w:pos="1440"/>
        </w:tabs>
        <w:ind w:left="1440" w:hanging="360"/>
      </w:pPr>
      <w:rPr>
        <w:rFonts w:ascii="Arial" w:hAnsi="Arial" w:hint="default"/>
      </w:rPr>
    </w:lvl>
    <w:lvl w:ilvl="2" w:tplc="CEE006D6" w:tentative="1">
      <w:start w:val="1"/>
      <w:numFmt w:val="bullet"/>
      <w:lvlText w:val="•"/>
      <w:lvlJc w:val="left"/>
      <w:pPr>
        <w:tabs>
          <w:tab w:val="num" w:pos="2160"/>
        </w:tabs>
        <w:ind w:left="2160" w:hanging="360"/>
      </w:pPr>
      <w:rPr>
        <w:rFonts w:ascii="Arial" w:hAnsi="Arial" w:hint="default"/>
      </w:rPr>
    </w:lvl>
    <w:lvl w:ilvl="3" w:tplc="B63489CA" w:tentative="1">
      <w:start w:val="1"/>
      <w:numFmt w:val="bullet"/>
      <w:lvlText w:val="•"/>
      <w:lvlJc w:val="left"/>
      <w:pPr>
        <w:tabs>
          <w:tab w:val="num" w:pos="2880"/>
        </w:tabs>
        <w:ind w:left="2880" w:hanging="360"/>
      </w:pPr>
      <w:rPr>
        <w:rFonts w:ascii="Arial" w:hAnsi="Arial" w:hint="default"/>
      </w:rPr>
    </w:lvl>
    <w:lvl w:ilvl="4" w:tplc="93CA3964" w:tentative="1">
      <w:start w:val="1"/>
      <w:numFmt w:val="bullet"/>
      <w:lvlText w:val="•"/>
      <w:lvlJc w:val="left"/>
      <w:pPr>
        <w:tabs>
          <w:tab w:val="num" w:pos="3600"/>
        </w:tabs>
        <w:ind w:left="3600" w:hanging="360"/>
      </w:pPr>
      <w:rPr>
        <w:rFonts w:ascii="Arial" w:hAnsi="Arial" w:hint="default"/>
      </w:rPr>
    </w:lvl>
    <w:lvl w:ilvl="5" w:tplc="2090AC0E" w:tentative="1">
      <w:start w:val="1"/>
      <w:numFmt w:val="bullet"/>
      <w:lvlText w:val="•"/>
      <w:lvlJc w:val="left"/>
      <w:pPr>
        <w:tabs>
          <w:tab w:val="num" w:pos="4320"/>
        </w:tabs>
        <w:ind w:left="4320" w:hanging="360"/>
      </w:pPr>
      <w:rPr>
        <w:rFonts w:ascii="Arial" w:hAnsi="Arial" w:hint="default"/>
      </w:rPr>
    </w:lvl>
    <w:lvl w:ilvl="6" w:tplc="1C507070" w:tentative="1">
      <w:start w:val="1"/>
      <w:numFmt w:val="bullet"/>
      <w:lvlText w:val="•"/>
      <w:lvlJc w:val="left"/>
      <w:pPr>
        <w:tabs>
          <w:tab w:val="num" w:pos="5040"/>
        </w:tabs>
        <w:ind w:left="5040" w:hanging="360"/>
      </w:pPr>
      <w:rPr>
        <w:rFonts w:ascii="Arial" w:hAnsi="Arial" w:hint="default"/>
      </w:rPr>
    </w:lvl>
    <w:lvl w:ilvl="7" w:tplc="176AC6BC" w:tentative="1">
      <w:start w:val="1"/>
      <w:numFmt w:val="bullet"/>
      <w:lvlText w:val="•"/>
      <w:lvlJc w:val="left"/>
      <w:pPr>
        <w:tabs>
          <w:tab w:val="num" w:pos="5760"/>
        </w:tabs>
        <w:ind w:left="5760" w:hanging="360"/>
      </w:pPr>
      <w:rPr>
        <w:rFonts w:ascii="Arial" w:hAnsi="Arial" w:hint="default"/>
      </w:rPr>
    </w:lvl>
    <w:lvl w:ilvl="8" w:tplc="90BACB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8241E8"/>
    <w:multiLevelType w:val="hybridMultilevel"/>
    <w:tmpl w:val="B106C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143EB"/>
    <w:multiLevelType w:val="hybridMultilevel"/>
    <w:tmpl w:val="A9CE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C5"/>
    <w:rsid w:val="00017160"/>
    <w:rsid w:val="000F74E9"/>
    <w:rsid w:val="00116E27"/>
    <w:rsid w:val="001339E6"/>
    <w:rsid w:val="001A4C0D"/>
    <w:rsid w:val="001E7C17"/>
    <w:rsid w:val="0021309E"/>
    <w:rsid w:val="002C342B"/>
    <w:rsid w:val="00362F9F"/>
    <w:rsid w:val="00391267"/>
    <w:rsid w:val="003B61D6"/>
    <w:rsid w:val="003D254F"/>
    <w:rsid w:val="003E1D93"/>
    <w:rsid w:val="00441CAC"/>
    <w:rsid w:val="004A470B"/>
    <w:rsid w:val="004B597D"/>
    <w:rsid w:val="00505A01"/>
    <w:rsid w:val="00507986"/>
    <w:rsid w:val="005F78B6"/>
    <w:rsid w:val="00672978"/>
    <w:rsid w:val="00723E12"/>
    <w:rsid w:val="0072683C"/>
    <w:rsid w:val="00753D37"/>
    <w:rsid w:val="00777A0E"/>
    <w:rsid w:val="00807116"/>
    <w:rsid w:val="0090778A"/>
    <w:rsid w:val="00A217AC"/>
    <w:rsid w:val="00A47F6E"/>
    <w:rsid w:val="00B147E3"/>
    <w:rsid w:val="00B2678B"/>
    <w:rsid w:val="00B70BAA"/>
    <w:rsid w:val="00B765C6"/>
    <w:rsid w:val="00B97FD6"/>
    <w:rsid w:val="00BC5FBC"/>
    <w:rsid w:val="00C77388"/>
    <w:rsid w:val="00CB7363"/>
    <w:rsid w:val="00CE782A"/>
    <w:rsid w:val="00D22B36"/>
    <w:rsid w:val="00DE5EB0"/>
    <w:rsid w:val="00F87882"/>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F3B6B"/>
  <w15:docId w15:val="{39C382A2-07ED-473E-BB33-A42CC6D2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5C5"/>
    <w:rPr>
      <w:color w:val="0563C1" w:themeColor="hyperlink"/>
      <w:u w:val="single"/>
    </w:rPr>
  </w:style>
  <w:style w:type="character" w:customStyle="1" w:styleId="UnresolvedMention1">
    <w:name w:val="Unresolved Mention1"/>
    <w:basedOn w:val="DefaultParagraphFont"/>
    <w:uiPriority w:val="99"/>
    <w:semiHidden/>
    <w:unhideWhenUsed/>
    <w:rsid w:val="00FF65C5"/>
    <w:rPr>
      <w:color w:val="605E5C"/>
      <w:shd w:val="clear" w:color="auto" w:fill="E1DFDD"/>
    </w:rPr>
  </w:style>
  <w:style w:type="character" w:styleId="FollowedHyperlink">
    <w:name w:val="FollowedHyperlink"/>
    <w:basedOn w:val="DefaultParagraphFont"/>
    <w:uiPriority w:val="99"/>
    <w:semiHidden/>
    <w:unhideWhenUsed/>
    <w:rsid w:val="00FF65C5"/>
    <w:rPr>
      <w:color w:val="954F72" w:themeColor="followedHyperlink"/>
      <w:u w:val="single"/>
    </w:rPr>
  </w:style>
  <w:style w:type="paragraph" w:styleId="Header">
    <w:name w:val="header"/>
    <w:basedOn w:val="Normal"/>
    <w:link w:val="HeaderChar"/>
    <w:uiPriority w:val="99"/>
    <w:unhideWhenUsed/>
    <w:rsid w:val="00B2678B"/>
    <w:pPr>
      <w:tabs>
        <w:tab w:val="center" w:pos="4680"/>
        <w:tab w:val="right" w:pos="9360"/>
      </w:tabs>
    </w:pPr>
  </w:style>
  <w:style w:type="character" w:customStyle="1" w:styleId="HeaderChar">
    <w:name w:val="Header Char"/>
    <w:basedOn w:val="DefaultParagraphFont"/>
    <w:link w:val="Header"/>
    <w:uiPriority w:val="99"/>
    <w:rsid w:val="00B2678B"/>
  </w:style>
  <w:style w:type="paragraph" w:styleId="Footer">
    <w:name w:val="footer"/>
    <w:basedOn w:val="Normal"/>
    <w:link w:val="FooterChar"/>
    <w:uiPriority w:val="99"/>
    <w:unhideWhenUsed/>
    <w:rsid w:val="00B2678B"/>
    <w:pPr>
      <w:tabs>
        <w:tab w:val="center" w:pos="4680"/>
        <w:tab w:val="right" w:pos="9360"/>
      </w:tabs>
    </w:pPr>
  </w:style>
  <w:style w:type="character" w:customStyle="1" w:styleId="FooterChar">
    <w:name w:val="Footer Char"/>
    <w:basedOn w:val="DefaultParagraphFont"/>
    <w:link w:val="Footer"/>
    <w:uiPriority w:val="99"/>
    <w:rsid w:val="00B2678B"/>
  </w:style>
  <w:style w:type="character" w:styleId="IntenseReference">
    <w:name w:val="Intense Reference"/>
    <w:basedOn w:val="DefaultParagraphFont"/>
    <w:uiPriority w:val="32"/>
    <w:qFormat/>
    <w:rsid w:val="002C342B"/>
    <w:rPr>
      <w:b/>
      <w:bCs/>
      <w:smallCaps/>
      <w:color w:val="4472C4" w:themeColor="accent1"/>
      <w:spacing w:val="5"/>
    </w:rPr>
  </w:style>
  <w:style w:type="paragraph" w:styleId="ListParagraph">
    <w:name w:val="List Paragraph"/>
    <w:basedOn w:val="Normal"/>
    <w:uiPriority w:val="34"/>
    <w:qFormat/>
    <w:rsid w:val="00D22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04297">
      <w:bodyDiv w:val="1"/>
      <w:marLeft w:val="0"/>
      <w:marRight w:val="0"/>
      <w:marTop w:val="0"/>
      <w:marBottom w:val="0"/>
      <w:divBdr>
        <w:top w:val="none" w:sz="0" w:space="0" w:color="auto"/>
        <w:left w:val="none" w:sz="0" w:space="0" w:color="auto"/>
        <w:bottom w:val="none" w:sz="0" w:space="0" w:color="auto"/>
        <w:right w:val="none" w:sz="0" w:space="0" w:color="auto"/>
      </w:divBdr>
      <w:divsChild>
        <w:div w:id="1185899501">
          <w:marLeft w:val="446"/>
          <w:marRight w:val="0"/>
          <w:marTop w:val="0"/>
          <w:marBottom w:val="240"/>
          <w:divBdr>
            <w:top w:val="none" w:sz="0" w:space="0" w:color="auto"/>
            <w:left w:val="none" w:sz="0" w:space="0" w:color="auto"/>
            <w:bottom w:val="none" w:sz="0" w:space="0" w:color="auto"/>
            <w:right w:val="none" w:sz="0" w:space="0" w:color="auto"/>
          </w:divBdr>
        </w:div>
        <w:div w:id="1801414005">
          <w:marLeft w:val="446"/>
          <w:marRight w:val="0"/>
          <w:marTop w:val="0"/>
          <w:marBottom w:val="240"/>
          <w:divBdr>
            <w:top w:val="none" w:sz="0" w:space="0" w:color="auto"/>
            <w:left w:val="none" w:sz="0" w:space="0" w:color="auto"/>
            <w:bottom w:val="none" w:sz="0" w:space="0" w:color="auto"/>
            <w:right w:val="none" w:sz="0" w:space="0" w:color="auto"/>
          </w:divBdr>
        </w:div>
        <w:div w:id="160781796">
          <w:marLeft w:val="446"/>
          <w:marRight w:val="0"/>
          <w:marTop w:val="0"/>
          <w:marBottom w:val="240"/>
          <w:divBdr>
            <w:top w:val="none" w:sz="0" w:space="0" w:color="auto"/>
            <w:left w:val="none" w:sz="0" w:space="0" w:color="auto"/>
            <w:bottom w:val="none" w:sz="0" w:space="0" w:color="auto"/>
            <w:right w:val="none" w:sz="0" w:space="0" w:color="auto"/>
          </w:divBdr>
        </w:div>
        <w:div w:id="875313440">
          <w:marLeft w:val="446"/>
          <w:marRight w:val="0"/>
          <w:marTop w:val="0"/>
          <w:marBottom w:val="240"/>
          <w:divBdr>
            <w:top w:val="none" w:sz="0" w:space="0" w:color="auto"/>
            <w:left w:val="none" w:sz="0" w:space="0" w:color="auto"/>
            <w:bottom w:val="none" w:sz="0" w:space="0" w:color="auto"/>
            <w:right w:val="none" w:sz="0" w:space="0" w:color="auto"/>
          </w:divBdr>
        </w:div>
        <w:div w:id="820080358">
          <w:marLeft w:val="446"/>
          <w:marRight w:val="0"/>
          <w:marTop w:val="0"/>
          <w:marBottom w:val="240"/>
          <w:divBdr>
            <w:top w:val="none" w:sz="0" w:space="0" w:color="auto"/>
            <w:left w:val="none" w:sz="0" w:space="0" w:color="auto"/>
            <w:bottom w:val="none" w:sz="0" w:space="0" w:color="auto"/>
            <w:right w:val="none" w:sz="0" w:space="0" w:color="auto"/>
          </w:divBdr>
        </w:div>
        <w:div w:id="1300184900">
          <w:marLeft w:val="446"/>
          <w:marRight w:val="0"/>
          <w:marTop w:val="0"/>
          <w:marBottom w:val="240"/>
          <w:divBdr>
            <w:top w:val="none" w:sz="0" w:space="0" w:color="auto"/>
            <w:left w:val="none" w:sz="0" w:space="0" w:color="auto"/>
            <w:bottom w:val="none" w:sz="0" w:space="0" w:color="auto"/>
            <w:right w:val="none" w:sz="0" w:space="0" w:color="auto"/>
          </w:divBdr>
        </w:div>
      </w:divsChild>
    </w:div>
    <w:div w:id="836651857">
      <w:bodyDiv w:val="1"/>
      <w:marLeft w:val="0"/>
      <w:marRight w:val="0"/>
      <w:marTop w:val="0"/>
      <w:marBottom w:val="0"/>
      <w:divBdr>
        <w:top w:val="none" w:sz="0" w:space="0" w:color="auto"/>
        <w:left w:val="none" w:sz="0" w:space="0" w:color="auto"/>
        <w:bottom w:val="none" w:sz="0" w:space="0" w:color="auto"/>
        <w:right w:val="none" w:sz="0" w:space="0" w:color="auto"/>
      </w:divBdr>
      <w:divsChild>
        <w:div w:id="1398818106">
          <w:marLeft w:val="446"/>
          <w:marRight w:val="0"/>
          <w:marTop w:val="0"/>
          <w:marBottom w:val="240"/>
          <w:divBdr>
            <w:top w:val="none" w:sz="0" w:space="0" w:color="auto"/>
            <w:left w:val="none" w:sz="0" w:space="0" w:color="auto"/>
            <w:bottom w:val="none" w:sz="0" w:space="0" w:color="auto"/>
            <w:right w:val="none" w:sz="0" w:space="0" w:color="auto"/>
          </w:divBdr>
        </w:div>
        <w:div w:id="924656608">
          <w:marLeft w:val="446"/>
          <w:marRight w:val="0"/>
          <w:marTop w:val="0"/>
          <w:marBottom w:val="240"/>
          <w:divBdr>
            <w:top w:val="none" w:sz="0" w:space="0" w:color="auto"/>
            <w:left w:val="none" w:sz="0" w:space="0" w:color="auto"/>
            <w:bottom w:val="none" w:sz="0" w:space="0" w:color="auto"/>
            <w:right w:val="none" w:sz="0" w:space="0" w:color="auto"/>
          </w:divBdr>
        </w:div>
        <w:div w:id="600382772">
          <w:marLeft w:val="1166"/>
          <w:marRight w:val="0"/>
          <w:marTop w:val="0"/>
          <w:marBottom w:val="120"/>
          <w:divBdr>
            <w:top w:val="none" w:sz="0" w:space="0" w:color="auto"/>
            <w:left w:val="none" w:sz="0" w:space="0" w:color="auto"/>
            <w:bottom w:val="none" w:sz="0" w:space="0" w:color="auto"/>
            <w:right w:val="none" w:sz="0" w:space="0" w:color="auto"/>
          </w:divBdr>
        </w:div>
        <w:div w:id="803549689">
          <w:marLeft w:val="1166"/>
          <w:marRight w:val="0"/>
          <w:marTop w:val="0"/>
          <w:marBottom w:val="120"/>
          <w:divBdr>
            <w:top w:val="none" w:sz="0" w:space="0" w:color="auto"/>
            <w:left w:val="none" w:sz="0" w:space="0" w:color="auto"/>
            <w:bottom w:val="none" w:sz="0" w:space="0" w:color="auto"/>
            <w:right w:val="none" w:sz="0" w:space="0" w:color="auto"/>
          </w:divBdr>
        </w:div>
        <w:div w:id="1953896620">
          <w:marLeft w:val="1166"/>
          <w:marRight w:val="0"/>
          <w:marTop w:val="0"/>
          <w:marBottom w:val="120"/>
          <w:divBdr>
            <w:top w:val="none" w:sz="0" w:space="0" w:color="auto"/>
            <w:left w:val="none" w:sz="0" w:space="0" w:color="auto"/>
            <w:bottom w:val="none" w:sz="0" w:space="0" w:color="auto"/>
            <w:right w:val="none" w:sz="0" w:space="0" w:color="auto"/>
          </w:divBdr>
        </w:div>
        <w:div w:id="558981836">
          <w:marLeft w:val="1166"/>
          <w:marRight w:val="0"/>
          <w:marTop w:val="0"/>
          <w:marBottom w:val="120"/>
          <w:divBdr>
            <w:top w:val="none" w:sz="0" w:space="0" w:color="auto"/>
            <w:left w:val="none" w:sz="0" w:space="0" w:color="auto"/>
            <w:bottom w:val="none" w:sz="0" w:space="0" w:color="auto"/>
            <w:right w:val="none" w:sz="0" w:space="0" w:color="auto"/>
          </w:divBdr>
        </w:div>
        <w:div w:id="681006483">
          <w:marLeft w:val="1166"/>
          <w:marRight w:val="0"/>
          <w:marTop w:val="0"/>
          <w:marBottom w:val="120"/>
          <w:divBdr>
            <w:top w:val="none" w:sz="0" w:space="0" w:color="auto"/>
            <w:left w:val="none" w:sz="0" w:space="0" w:color="auto"/>
            <w:bottom w:val="none" w:sz="0" w:space="0" w:color="auto"/>
            <w:right w:val="none" w:sz="0" w:space="0" w:color="auto"/>
          </w:divBdr>
        </w:div>
        <w:div w:id="1351949312">
          <w:marLeft w:val="446"/>
          <w:marRight w:val="0"/>
          <w:marTop w:val="0"/>
          <w:marBottom w:val="240"/>
          <w:divBdr>
            <w:top w:val="none" w:sz="0" w:space="0" w:color="auto"/>
            <w:left w:val="none" w:sz="0" w:space="0" w:color="auto"/>
            <w:bottom w:val="none" w:sz="0" w:space="0" w:color="auto"/>
            <w:right w:val="none" w:sz="0" w:space="0" w:color="auto"/>
          </w:divBdr>
        </w:div>
        <w:div w:id="1791506083">
          <w:marLeft w:val="1166"/>
          <w:marRight w:val="0"/>
          <w:marTop w:val="0"/>
          <w:marBottom w:val="120"/>
          <w:divBdr>
            <w:top w:val="none" w:sz="0" w:space="0" w:color="auto"/>
            <w:left w:val="none" w:sz="0" w:space="0" w:color="auto"/>
            <w:bottom w:val="none" w:sz="0" w:space="0" w:color="auto"/>
            <w:right w:val="none" w:sz="0" w:space="0" w:color="auto"/>
          </w:divBdr>
        </w:div>
        <w:div w:id="1249581024">
          <w:marLeft w:val="446"/>
          <w:marRight w:val="0"/>
          <w:marTop w:val="0"/>
          <w:marBottom w:val="240"/>
          <w:divBdr>
            <w:top w:val="none" w:sz="0" w:space="0" w:color="auto"/>
            <w:left w:val="none" w:sz="0" w:space="0" w:color="auto"/>
            <w:bottom w:val="none" w:sz="0" w:space="0" w:color="auto"/>
            <w:right w:val="none" w:sz="0" w:space="0" w:color="auto"/>
          </w:divBdr>
        </w:div>
        <w:div w:id="727001022">
          <w:marLeft w:val="446"/>
          <w:marRight w:val="0"/>
          <w:marTop w:val="0"/>
          <w:marBottom w:val="240"/>
          <w:divBdr>
            <w:top w:val="none" w:sz="0" w:space="0" w:color="auto"/>
            <w:left w:val="none" w:sz="0" w:space="0" w:color="auto"/>
            <w:bottom w:val="none" w:sz="0" w:space="0" w:color="auto"/>
            <w:right w:val="none" w:sz="0" w:space="0" w:color="auto"/>
          </w:divBdr>
        </w:div>
        <w:div w:id="1969507711">
          <w:marLeft w:val="446"/>
          <w:marRight w:val="0"/>
          <w:marTop w:val="0"/>
          <w:marBottom w:val="240"/>
          <w:divBdr>
            <w:top w:val="none" w:sz="0" w:space="0" w:color="auto"/>
            <w:left w:val="none" w:sz="0" w:space="0" w:color="auto"/>
            <w:bottom w:val="none" w:sz="0" w:space="0" w:color="auto"/>
            <w:right w:val="none" w:sz="0" w:space="0" w:color="auto"/>
          </w:divBdr>
        </w:div>
        <w:div w:id="2096434371">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3CAE7-FB52-E646-B039-4F228310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Fassi</dc:creator>
  <cp:lastModifiedBy>ellen cottrill</cp:lastModifiedBy>
  <cp:revision>2</cp:revision>
  <dcterms:created xsi:type="dcterms:W3CDTF">2020-04-06T16:09:00Z</dcterms:created>
  <dcterms:modified xsi:type="dcterms:W3CDTF">2020-04-06T16:09:00Z</dcterms:modified>
</cp:coreProperties>
</file>